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19D" w:rsidRPr="00E75CFB" w:rsidRDefault="0008719D" w:rsidP="0008719D">
      <w:pPr>
        <w:autoSpaceDE w:val="0"/>
        <w:autoSpaceDN w:val="0"/>
        <w:adjustRightInd w:val="0"/>
        <w:spacing w:after="0" w:line="240" w:lineRule="auto"/>
        <w:ind w:left="7088"/>
        <w:rPr>
          <w:rFonts w:ascii="Times New Roman" w:hAnsi="Times New Roman" w:cs="Times New Roman"/>
          <w:b/>
          <w:sz w:val="28"/>
          <w:szCs w:val="28"/>
        </w:rPr>
      </w:pPr>
      <w:r w:rsidRPr="00865E12">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1D3A49E9" wp14:editId="603237CD">
            <wp:simplePos x="0" y="0"/>
            <wp:positionH relativeFrom="margin">
              <wp:posOffset>3133725</wp:posOffset>
            </wp:positionH>
            <wp:positionV relativeFrom="margin">
              <wp:posOffset>-362585</wp:posOffset>
            </wp:positionV>
            <wp:extent cx="1193550" cy="1282535"/>
            <wp:effectExtent l="0" t="0" r="698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kuratura_emb.gif"/>
                    <pic:cNvPicPr/>
                  </pic:nvPicPr>
                  <pic:blipFill>
                    <a:blip r:embed="rId4">
                      <a:duotone>
                        <a:prstClr val="black"/>
                        <a:schemeClr val="tx1">
                          <a:tint val="45000"/>
                          <a:satMod val="400000"/>
                        </a:schemeClr>
                      </a:duotone>
                      <a:extLst>
                        <a:ext uri="{BEBA8EAE-BF5A-486C-A8C5-ECC9F3942E4B}">
                          <a14:imgProps xmlns:a14="http://schemas.microsoft.com/office/drawing/2010/main">
                            <a14:imgLayer r:embed="rId5">
                              <a14:imgEffect>
                                <a14:sharpenSoften amount="50000"/>
                              </a14:imgEffect>
                              <a14:imgEffect>
                                <a14:saturation sat="33000"/>
                              </a14:imgEffect>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flipH="1">
                      <a:off x="0" y="0"/>
                      <a:ext cx="1193550" cy="1282535"/>
                    </a:xfrm>
                    <a:prstGeom prst="rect">
                      <a:avLst/>
                    </a:prstGeom>
                  </pic:spPr>
                </pic:pic>
              </a:graphicData>
            </a:graphic>
            <wp14:sizeRelH relativeFrom="margin">
              <wp14:pctWidth>0</wp14:pctWidth>
            </wp14:sizeRelH>
            <wp14:sizeRelV relativeFrom="margin">
              <wp14:pctHeight>0</wp14:pctHeight>
            </wp14:sizeRelV>
          </wp:anchor>
        </w:drawing>
      </w:r>
      <w:r w:rsidRPr="00E75CFB">
        <w:rPr>
          <w:rFonts w:ascii="Times New Roman" w:hAnsi="Times New Roman" w:cs="Times New Roman"/>
          <w:b/>
          <w:sz w:val="28"/>
          <w:szCs w:val="28"/>
        </w:rPr>
        <w:t xml:space="preserve">Прокуратура </w:t>
      </w:r>
    </w:p>
    <w:p w:rsidR="0008719D" w:rsidRDefault="005062B0" w:rsidP="0008719D">
      <w:pPr>
        <w:autoSpaceDE w:val="0"/>
        <w:autoSpaceDN w:val="0"/>
        <w:adjustRightInd w:val="0"/>
        <w:spacing w:after="0" w:line="240" w:lineRule="auto"/>
        <w:ind w:left="7088"/>
        <w:rPr>
          <w:rFonts w:ascii="Times New Roman" w:hAnsi="Times New Roman" w:cs="Times New Roman"/>
          <w:b/>
          <w:sz w:val="28"/>
          <w:szCs w:val="28"/>
        </w:rPr>
      </w:pPr>
      <w:r>
        <w:rPr>
          <w:rFonts w:ascii="Times New Roman" w:hAnsi="Times New Roman" w:cs="Times New Roman"/>
          <w:b/>
          <w:sz w:val="28"/>
          <w:szCs w:val="28"/>
        </w:rPr>
        <w:t>города Усолье-Сибирское</w:t>
      </w:r>
    </w:p>
    <w:p w:rsidR="0008719D" w:rsidRDefault="0008719D" w:rsidP="0008719D">
      <w:pPr>
        <w:autoSpaceDE w:val="0"/>
        <w:autoSpaceDN w:val="0"/>
        <w:adjustRightInd w:val="0"/>
        <w:spacing w:after="0" w:line="240" w:lineRule="auto"/>
        <w:rPr>
          <w:rFonts w:ascii="Times New Roman" w:hAnsi="Times New Roman" w:cs="Times New Roman"/>
          <w:b/>
          <w:sz w:val="24"/>
          <w:szCs w:val="28"/>
        </w:rPr>
      </w:pPr>
    </w:p>
    <w:p w:rsidR="005F02CE" w:rsidRDefault="005F02CE" w:rsidP="005F02CE">
      <w:pPr>
        <w:autoSpaceDE w:val="0"/>
        <w:autoSpaceDN w:val="0"/>
        <w:adjustRightInd w:val="0"/>
        <w:spacing w:after="0" w:line="240" w:lineRule="auto"/>
        <w:rPr>
          <w:rFonts w:ascii="Times New Roman" w:hAnsi="Times New Roman" w:cs="Times New Roman"/>
          <w:b/>
          <w:sz w:val="32"/>
          <w:szCs w:val="28"/>
        </w:rPr>
      </w:pPr>
    </w:p>
    <w:p w:rsidR="005F02CE" w:rsidRDefault="005F02CE" w:rsidP="007943F0">
      <w:pPr>
        <w:autoSpaceDE w:val="0"/>
        <w:autoSpaceDN w:val="0"/>
        <w:adjustRightInd w:val="0"/>
        <w:spacing w:after="0" w:line="240" w:lineRule="auto"/>
        <w:jc w:val="center"/>
        <w:rPr>
          <w:rFonts w:ascii="Times New Roman" w:hAnsi="Times New Roman" w:cs="Times New Roman"/>
          <w:b/>
          <w:sz w:val="32"/>
          <w:szCs w:val="28"/>
        </w:rPr>
      </w:pPr>
      <w:r>
        <w:rPr>
          <w:rFonts w:ascii="Times New Roman" w:hAnsi="Times New Roman" w:cs="Times New Roman"/>
          <w:b/>
          <w:sz w:val="32"/>
          <w:szCs w:val="28"/>
        </w:rPr>
        <w:t>ПРАВОВЫЕ ОСНОВАНИЯ ОТКЛЮЧЕНИЯ ЭЛЕКТРОЭНЕРГИИ ЗА НЕУПЛАТУ</w:t>
      </w:r>
    </w:p>
    <w:p w:rsidR="005F02CE" w:rsidRDefault="005F02CE" w:rsidP="005F02CE">
      <w:pPr>
        <w:spacing w:after="0"/>
        <w:jc w:val="both"/>
        <w:rPr>
          <w:rFonts w:ascii="Times New Roman" w:hAnsi="Times New Roman" w:cs="Times New Roman"/>
          <w:sz w:val="28"/>
          <w:szCs w:val="25"/>
        </w:rPr>
      </w:pPr>
    </w:p>
    <w:p w:rsidR="005F02CE" w:rsidRPr="005F02CE" w:rsidRDefault="005F02CE" w:rsidP="005F02CE">
      <w:pPr>
        <w:spacing w:after="0" w:line="240" w:lineRule="auto"/>
        <w:ind w:firstLine="709"/>
        <w:jc w:val="both"/>
        <w:rPr>
          <w:rFonts w:ascii="Times New Roman" w:eastAsia="Calibri" w:hAnsi="Times New Roman" w:cs="Times New Roman"/>
          <w:sz w:val="28"/>
          <w:szCs w:val="27"/>
        </w:rPr>
      </w:pPr>
      <w:r>
        <w:rPr>
          <w:rFonts w:ascii="Times New Roman" w:eastAsia="Calibri" w:hAnsi="Times New Roman" w:cs="Times New Roman"/>
          <w:sz w:val="28"/>
          <w:szCs w:val="27"/>
        </w:rPr>
        <w:t xml:space="preserve">Прокуратура </w:t>
      </w:r>
      <w:r w:rsidR="005062B0">
        <w:rPr>
          <w:rFonts w:ascii="Times New Roman" w:eastAsia="Calibri" w:hAnsi="Times New Roman" w:cs="Times New Roman"/>
          <w:sz w:val="28"/>
          <w:szCs w:val="27"/>
        </w:rPr>
        <w:t>города Усолье-Сибирское</w:t>
      </w:r>
      <w:r>
        <w:rPr>
          <w:rFonts w:ascii="Times New Roman" w:eastAsia="Calibri" w:hAnsi="Times New Roman" w:cs="Times New Roman"/>
          <w:sz w:val="28"/>
          <w:szCs w:val="27"/>
        </w:rPr>
        <w:t xml:space="preserve"> информирует, </w:t>
      </w:r>
      <w:r w:rsidRPr="005F02CE">
        <w:rPr>
          <w:rFonts w:ascii="Times New Roman" w:eastAsia="Calibri" w:hAnsi="Times New Roman" w:cs="Times New Roman"/>
          <w:sz w:val="28"/>
          <w:szCs w:val="27"/>
        </w:rPr>
        <w:t>что отключени</w:t>
      </w:r>
      <w:r w:rsidR="005062B0">
        <w:rPr>
          <w:rFonts w:ascii="Times New Roman" w:eastAsia="Calibri" w:hAnsi="Times New Roman" w:cs="Times New Roman"/>
          <w:sz w:val="28"/>
          <w:szCs w:val="27"/>
        </w:rPr>
        <w:t>е</w:t>
      </w:r>
      <w:r w:rsidRPr="005F02CE">
        <w:rPr>
          <w:rFonts w:ascii="Times New Roman" w:eastAsia="Calibri" w:hAnsi="Times New Roman" w:cs="Times New Roman"/>
          <w:sz w:val="28"/>
          <w:szCs w:val="27"/>
        </w:rPr>
        <w:t xml:space="preserve"> электроэнергии возможно в случаях, предусмотренных п. 2 ст. 546 Гражданского кодекса Российской Федерации, в том числе 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w:t>
      </w:r>
    </w:p>
    <w:p w:rsidR="005F02CE" w:rsidRPr="005F02CE" w:rsidRDefault="005F02CE" w:rsidP="005F02CE">
      <w:pPr>
        <w:spacing w:after="0" w:line="240" w:lineRule="auto"/>
        <w:ind w:firstLine="709"/>
        <w:jc w:val="both"/>
        <w:rPr>
          <w:rFonts w:ascii="Times New Roman" w:eastAsia="Calibri" w:hAnsi="Times New Roman" w:cs="Times New Roman"/>
          <w:sz w:val="28"/>
          <w:szCs w:val="27"/>
        </w:rPr>
      </w:pPr>
      <w:r w:rsidRPr="005F02CE">
        <w:rPr>
          <w:rFonts w:ascii="Times New Roman" w:eastAsia="Calibri" w:hAnsi="Times New Roman" w:cs="Times New Roman"/>
          <w:sz w:val="28"/>
          <w:szCs w:val="27"/>
        </w:rPr>
        <w:t>В силу п. 2 Правил полного и (или) частичного ограничения режима потребления электрической энергии, утверждённых постановлением Правительства РФ от 04.05.2012 № 442 «О функционировании розничных рынков электрической энергии, полном и (или) частичном ограничении режима потребления электрической энергии» установлены следующие случаи ограничения режима потребления:</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Pr>
          <w:rFonts w:ascii="Times New Roman" w:eastAsia="Calibri" w:hAnsi="Times New Roman" w:cs="Times New Roman"/>
          <w:sz w:val="28"/>
          <w:szCs w:val="27"/>
        </w:rPr>
        <w:t xml:space="preserve">а) </w:t>
      </w:r>
      <w:r w:rsidRPr="005062B0">
        <w:rPr>
          <w:rFonts w:ascii="Times New Roman" w:eastAsia="Calibri" w:hAnsi="Times New Roman" w:cs="Times New Roman"/>
          <w:sz w:val="28"/>
          <w:szCs w:val="27"/>
        </w:rPr>
        <w:t>получение законного требования судебного пристава-исполнителя о введении ограничения режима потребления;</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б) нарушение потребителем своих обязательств, выразившееся в следующих действиях:</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неисполнение или ненадлежащее исполнение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если это привело к образованию задолженности потребителя перед гарантирующим поставщиком, энергосбытовой, энергоснабжающей организацией или производителем электрической энергии (мощности) на розничном рынке по основному обязательству, возникшему из договора энергоснабжения (купли-продажи (поставки) электрической энергии (мощности)), в том числе обязательству по предварительной оплате электрической энергии (мощности);</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неисполнение или ненадлежащее исполнение потребителем обязательств по оплате услуг по передаче электрической энергии, если это привело к образованию задолженности потребителя перед сетевой организацией по основному обязательству, возникшему из договора об оказании услуг по передаче электрической энергии, в том числе обязательству по предварительной оплате таких услуг;</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 xml:space="preserve">неисполнение или ненадлежащее исполнение потребителем условий договора, касающихся обеспечения функционирования устройств релейной </w:t>
      </w:r>
      <w:r w:rsidRPr="005062B0">
        <w:rPr>
          <w:rFonts w:ascii="Times New Roman" w:eastAsia="Calibri" w:hAnsi="Times New Roman" w:cs="Times New Roman"/>
          <w:sz w:val="28"/>
          <w:szCs w:val="27"/>
        </w:rPr>
        <w:lastRenderedPageBreak/>
        <w:t>защиты, сетевой, противоаварийной и режимной автоматики, устройств компенсации реактивной мощности;</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 xml:space="preserve">нарушение характеристик технологического присоединения, указанных в документах о технологическом присоединении (в том числе превышение максимальной мощности энергопринимающего устройства потребителя), вызванное подключением потребителем к принадлежащим ему энергопринимающим устройствам и (или) объектам электроэнергетики </w:t>
      </w:r>
      <w:proofErr w:type="spellStart"/>
      <w:r w:rsidRPr="005062B0">
        <w:rPr>
          <w:rFonts w:ascii="Times New Roman" w:eastAsia="Calibri" w:hAnsi="Times New Roman" w:cs="Times New Roman"/>
          <w:sz w:val="28"/>
          <w:szCs w:val="27"/>
        </w:rPr>
        <w:t>электропотребляющего</w:t>
      </w:r>
      <w:proofErr w:type="spellEnd"/>
      <w:r w:rsidRPr="005062B0">
        <w:rPr>
          <w:rFonts w:ascii="Times New Roman" w:eastAsia="Calibri" w:hAnsi="Times New Roman" w:cs="Times New Roman"/>
          <w:sz w:val="28"/>
          <w:szCs w:val="27"/>
        </w:rPr>
        <w:t xml:space="preserve"> оборудования либо изменением потребителем режима работы подключенного </w:t>
      </w:r>
      <w:proofErr w:type="spellStart"/>
      <w:r w:rsidRPr="005062B0">
        <w:rPr>
          <w:rFonts w:ascii="Times New Roman" w:eastAsia="Calibri" w:hAnsi="Times New Roman" w:cs="Times New Roman"/>
          <w:sz w:val="28"/>
          <w:szCs w:val="27"/>
        </w:rPr>
        <w:t>электропотребляющего</w:t>
      </w:r>
      <w:proofErr w:type="spellEnd"/>
      <w:r w:rsidRPr="005062B0">
        <w:rPr>
          <w:rFonts w:ascii="Times New Roman" w:eastAsia="Calibri" w:hAnsi="Times New Roman" w:cs="Times New Roman"/>
          <w:sz w:val="28"/>
          <w:szCs w:val="27"/>
        </w:rPr>
        <w:t xml:space="preserve"> оборудования;</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возникновение у граждан, ведущих садоводство или огородничество на земельных участках, расположенных в границах территории садоводства или огородничества, задолженности по оплате электрической энергии по договору энергоснабжения или перед садоводческим или огородническим некоммерческим товариществом ввиду неисполнения или ненадлежащего исполнения обязательств по оплате части стоимости электрической энергии, потребленной при использовании имущества общего пользования садоводческого или огороднического некоммерческого товарищества, и части потерь электрической энергии, возникших в объектах электросетевого хозяйства, принадлежащих садоводческому или огородническому некоммерческому товариществу;</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в) прекращение обязательств по поставке электрической энергии (мощности) по договору энергоснабжения (купли-продажи (поставки) электрической энергии (мощности)) и (или) по оказанию услуг по передаче электрической энергии в отношении энергопринимающих устройств и (или) объектов электроэнергетики по договору оказания услуг по передаче электрической энергии;</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г) выявление факта бездоговорного потребления электрической энергии;</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 xml:space="preserve">д) выявление ненадлежащего технологического присоединения энергопринимающих устройств потребителя, которое установлено гарантирующим поставщиком, заключившим с этим потребителем в случаях, предусмотренных Основными положениями функционирования розничных рынков электрической энергии, утвержденными постановлением Правительства Российской Федерации от 4 мая 2012 г. </w:t>
      </w:r>
      <w:r>
        <w:rPr>
          <w:rFonts w:ascii="Times New Roman" w:eastAsia="Calibri" w:hAnsi="Times New Roman" w:cs="Times New Roman"/>
          <w:sz w:val="28"/>
          <w:szCs w:val="27"/>
        </w:rPr>
        <w:t>№</w:t>
      </w:r>
      <w:bookmarkStart w:id="0" w:name="_GoBack"/>
      <w:bookmarkEnd w:id="0"/>
      <w:r w:rsidRPr="005062B0">
        <w:rPr>
          <w:rFonts w:ascii="Times New Roman" w:eastAsia="Calibri" w:hAnsi="Times New Roman" w:cs="Times New Roman"/>
          <w:sz w:val="28"/>
          <w:szCs w:val="27"/>
        </w:rPr>
        <w:t xml:space="preserve">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договор энергоснабжения (купли-продажи (поставки) электрической энергии (мощности)) при отсутствии документов, подтверждающих технологическое присоединение и (или) разграничение балансовой принадлежности;</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е) поступление от потребителя заявления о введении в отношении его энергопринимающих устройств и (или) объектов электроэнергетики ограничения режима потребления в случае, если у потребителя отсутствует техническая возможность самостоятельного ограничения режима потребления;</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lastRenderedPageBreak/>
        <w:t>ж) окончание срока, на который осуществлялось технологическое присоединение с применением временной схемы электроснабжения, или возникновение основания для его досрочного прекращения;</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з) возникновение (угроза возникновения) аварийных электроэнергетических режимов;</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з(1)) приостановление функционирования объекта электроэнергетики в качестве меры, обусловленной развитием чрезвычайной ситуации и направленной на защиту населения и территорий от чрезвычайной ситуации, создание необходимых условий для предупреждения и ликвидации чрезвычайной ситуации и минимизации ее негативного воздействия;</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и) необходимость проведения ремонтных работ на объектах электросетевого хозяйства сетевой организации, к которым присоединены энергопринимающие устройства и (или) объекты электроэнергетики потребителя, или необходимость проведения ремонтных работ на объектах электросетевого хозяйства смежных сетевых организаций (объектах электросетевого хозяйства иных владельцев) либо на объектах по производству электрической энергии в случае, если проведение этих работ невозможно без ограничения режима потребления;</w:t>
      </w:r>
    </w:p>
    <w:p w:rsidR="005062B0" w:rsidRPr="005062B0"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к) неисполнение потребителем принятого Правительством Российской Федерации решения о запрете на осуществление майнинга цифровой валюты (в том числе участие в майнинг-пулах) в отдельных субъектах Российской Федерации или на отдельных их территориях;</w:t>
      </w:r>
    </w:p>
    <w:p w:rsidR="005F02CE" w:rsidRPr="005F02CE" w:rsidRDefault="005062B0" w:rsidP="005062B0">
      <w:pPr>
        <w:spacing w:after="0" w:line="240" w:lineRule="auto"/>
        <w:ind w:firstLine="709"/>
        <w:jc w:val="both"/>
        <w:rPr>
          <w:rFonts w:ascii="Times New Roman" w:eastAsia="Calibri" w:hAnsi="Times New Roman" w:cs="Times New Roman"/>
          <w:sz w:val="28"/>
          <w:szCs w:val="27"/>
        </w:rPr>
      </w:pPr>
      <w:r w:rsidRPr="005062B0">
        <w:rPr>
          <w:rFonts w:ascii="Times New Roman" w:eastAsia="Calibri" w:hAnsi="Times New Roman" w:cs="Times New Roman"/>
          <w:sz w:val="28"/>
          <w:szCs w:val="27"/>
        </w:rPr>
        <w:t xml:space="preserve">л) получение уведомления об осуществлении потребителем майнинга цифровой валюты и (или) деятельности оператора </w:t>
      </w:r>
      <w:proofErr w:type="spellStart"/>
      <w:r w:rsidRPr="005062B0">
        <w:rPr>
          <w:rFonts w:ascii="Times New Roman" w:eastAsia="Calibri" w:hAnsi="Times New Roman" w:cs="Times New Roman"/>
          <w:sz w:val="28"/>
          <w:szCs w:val="27"/>
        </w:rPr>
        <w:t>майнинговой</w:t>
      </w:r>
      <w:proofErr w:type="spellEnd"/>
      <w:r w:rsidRPr="005062B0">
        <w:rPr>
          <w:rFonts w:ascii="Times New Roman" w:eastAsia="Calibri" w:hAnsi="Times New Roman" w:cs="Times New Roman"/>
          <w:sz w:val="28"/>
          <w:szCs w:val="27"/>
        </w:rPr>
        <w:t xml:space="preserve"> инфраструктуры без включения в реестр лиц, осуществляющих майнинг цифровой валюты, или реестр операторов </w:t>
      </w:r>
      <w:proofErr w:type="spellStart"/>
      <w:r w:rsidRPr="005062B0">
        <w:rPr>
          <w:rFonts w:ascii="Times New Roman" w:eastAsia="Calibri" w:hAnsi="Times New Roman" w:cs="Times New Roman"/>
          <w:sz w:val="28"/>
          <w:szCs w:val="27"/>
        </w:rPr>
        <w:t>майнинговой</w:t>
      </w:r>
      <w:proofErr w:type="spellEnd"/>
      <w:r w:rsidRPr="005062B0">
        <w:rPr>
          <w:rFonts w:ascii="Times New Roman" w:eastAsia="Calibri" w:hAnsi="Times New Roman" w:cs="Times New Roman"/>
          <w:sz w:val="28"/>
          <w:szCs w:val="27"/>
        </w:rPr>
        <w:t xml:space="preserve"> инфраструктуры.</w:t>
      </w:r>
    </w:p>
    <w:p w:rsidR="005F02CE" w:rsidRPr="005F02CE" w:rsidRDefault="005F02CE" w:rsidP="005F02CE">
      <w:pPr>
        <w:spacing w:after="0" w:line="240" w:lineRule="auto"/>
        <w:ind w:firstLine="709"/>
        <w:jc w:val="both"/>
        <w:rPr>
          <w:rFonts w:ascii="Times New Roman" w:eastAsia="Calibri" w:hAnsi="Times New Roman" w:cs="Times New Roman"/>
          <w:sz w:val="28"/>
          <w:szCs w:val="27"/>
        </w:rPr>
      </w:pPr>
      <w:r w:rsidRPr="005F02CE">
        <w:rPr>
          <w:rFonts w:ascii="Times New Roman" w:eastAsia="Calibri" w:hAnsi="Times New Roman" w:cs="Times New Roman"/>
          <w:sz w:val="28"/>
          <w:szCs w:val="27"/>
        </w:rPr>
        <w:t>Кроме того, основания для ограничения подачи электроэнергии могут устанавливаться договором энергоснабжения.</w:t>
      </w:r>
    </w:p>
    <w:p w:rsidR="00865534" w:rsidRPr="00ED38C5" w:rsidRDefault="00865534" w:rsidP="006D5020">
      <w:pPr>
        <w:pStyle w:val="ConsPlusNormal"/>
        <w:spacing w:after="240"/>
        <w:ind w:firstLine="540"/>
        <w:jc w:val="both"/>
        <w:rPr>
          <w:sz w:val="25"/>
          <w:szCs w:val="25"/>
        </w:rPr>
      </w:pPr>
    </w:p>
    <w:sectPr w:rsidR="00865534" w:rsidRPr="00ED38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120"/>
    <w:rsid w:val="00004219"/>
    <w:rsid w:val="0008719D"/>
    <w:rsid w:val="00151244"/>
    <w:rsid w:val="002D5120"/>
    <w:rsid w:val="005062B0"/>
    <w:rsid w:val="005F02CE"/>
    <w:rsid w:val="006621AA"/>
    <w:rsid w:val="006D5020"/>
    <w:rsid w:val="007943F0"/>
    <w:rsid w:val="00865534"/>
    <w:rsid w:val="0090183E"/>
    <w:rsid w:val="00C915AC"/>
    <w:rsid w:val="00ED3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39FF3"/>
  <w15:chartTrackingRefBased/>
  <w15:docId w15:val="{315EF8FB-7D9C-4464-A24F-237F8A820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5534"/>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5534"/>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168763">
      <w:bodyDiv w:val="1"/>
      <w:marLeft w:val="0"/>
      <w:marRight w:val="0"/>
      <w:marTop w:val="0"/>
      <w:marBottom w:val="0"/>
      <w:divBdr>
        <w:top w:val="none" w:sz="0" w:space="0" w:color="auto"/>
        <w:left w:val="none" w:sz="0" w:space="0" w:color="auto"/>
        <w:bottom w:val="none" w:sz="0" w:space="0" w:color="auto"/>
        <w:right w:val="none" w:sz="0" w:space="0" w:color="auto"/>
      </w:divBdr>
    </w:div>
    <w:div w:id="2032105558">
      <w:bodyDiv w:val="1"/>
      <w:marLeft w:val="0"/>
      <w:marRight w:val="0"/>
      <w:marTop w:val="0"/>
      <w:marBottom w:val="0"/>
      <w:divBdr>
        <w:top w:val="none" w:sz="0" w:space="0" w:color="auto"/>
        <w:left w:val="none" w:sz="0" w:space="0" w:color="auto"/>
        <w:bottom w:val="none" w:sz="0" w:space="0" w:color="auto"/>
        <w:right w:val="none" w:sz="0" w:space="0" w:color="auto"/>
      </w:divBdr>
      <w:divsChild>
        <w:div w:id="1836409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999</Words>
  <Characters>5697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Раздобудько Владимир Олегович</dc:creator>
  <cp:keywords/>
  <dc:description/>
  <cp:lastModifiedBy>Морская Анна Владимировна</cp:lastModifiedBy>
  <cp:revision>2</cp:revision>
  <dcterms:created xsi:type="dcterms:W3CDTF">2025-06-20T08:15:00Z</dcterms:created>
  <dcterms:modified xsi:type="dcterms:W3CDTF">2025-06-20T08:15:00Z</dcterms:modified>
</cp:coreProperties>
</file>